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BBD" w:rsidRDefault="00EE7044">
      <w:pPr>
        <w:pStyle w:val="Standard"/>
        <w:spacing w:after="0"/>
        <w:ind w:left="26" w:right="991" w:hanging="5"/>
        <w:jc w:val="both"/>
      </w:pPr>
      <w:bookmarkStart w:id="0" w:name="_GoBack"/>
      <w:bookmarkEnd w:id="0"/>
      <w:r>
        <w:rPr>
          <w:noProof/>
        </w:rPr>
        <w:drawing>
          <wp:anchor distT="0" distB="0" distL="114300" distR="114300" simplePos="0" relativeHeight="251658240" behindDoc="0" locked="0" layoutInCell="1" allowOverlap="1">
            <wp:simplePos x="0" y="0"/>
            <wp:positionH relativeFrom="column">
              <wp:posOffset>0</wp:posOffset>
            </wp:positionH>
            <wp:positionV relativeFrom="page">
              <wp:posOffset>0</wp:posOffset>
            </wp:positionV>
            <wp:extent cx="983880" cy="12240"/>
            <wp:effectExtent l="0" t="0" r="6720" b="6810"/>
            <wp:wrapSquare wrapText="bothSides"/>
            <wp:docPr id="1" name="Picture 219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983880" cy="12240"/>
                    </a:xfrm>
                    <a:prstGeom prst="rect">
                      <a:avLst/>
                    </a:prstGeom>
                    <a:noFill/>
                    <a:ln>
                      <a:noFill/>
                    </a:ln>
                  </pic:spPr>
                </pic:pic>
              </a:graphicData>
            </a:graphic>
          </wp:anchor>
        </w:drawing>
      </w:r>
      <w:r>
        <w:rPr>
          <w:noProof/>
        </w:rPr>
        <w:drawing>
          <wp:anchor distT="0" distB="0" distL="114300" distR="114300" simplePos="0" relativeHeight="2" behindDoc="0" locked="0" layoutInCell="1" allowOverlap="1">
            <wp:simplePos x="0" y="0"/>
            <wp:positionH relativeFrom="column">
              <wp:posOffset>0</wp:posOffset>
            </wp:positionH>
            <wp:positionV relativeFrom="page">
              <wp:posOffset>0</wp:posOffset>
            </wp:positionV>
            <wp:extent cx="5558400" cy="25560"/>
            <wp:effectExtent l="0" t="0" r="4200" b="0"/>
            <wp:wrapSquare wrapText="bothSides"/>
            <wp:docPr id="2" name="Picture 790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bright="-50000"/>
                      <a:alphaModFix/>
                    </a:blip>
                    <a:srcRect/>
                    <a:stretch>
                      <a:fillRect/>
                    </a:stretch>
                  </pic:blipFill>
                  <pic:spPr>
                    <a:xfrm>
                      <a:off x="0" y="0"/>
                      <a:ext cx="5558400" cy="25560"/>
                    </a:xfrm>
                    <a:prstGeom prst="rect">
                      <a:avLst/>
                    </a:prstGeom>
                    <a:noFill/>
                    <a:ln>
                      <a:noFill/>
                    </a:ln>
                  </pic:spPr>
                </pic:pic>
              </a:graphicData>
            </a:graphic>
          </wp:anchor>
        </w:drawing>
      </w:r>
      <w:r>
        <w:rPr>
          <w:noProof/>
        </w:rPr>
        <w:drawing>
          <wp:anchor distT="0" distB="0" distL="114300" distR="114300" simplePos="0" relativeHeight="4" behindDoc="0" locked="0" layoutInCell="1" allowOverlap="1">
            <wp:simplePos x="0" y="0"/>
            <wp:positionH relativeFrom="column">
              <wp:posOffset>0</wp:posOffset>
            </wp:positionH>
            <wp:positionV relativeFrom="page">
              <wp:posOffset>0</wp:posOffset>
            </wp:positionV>
            <wp:extent cx="5558400" cy="25560"/>
            <wp:effectExtent l="0" t="0" r="4200" b="0"/>
            <wp:wrapSquare wrapText="bothSides"/>
            <wp:docPr id="3" name="Picture 790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bright="-50000"/>
                      <a:alphaModFix/>
                    </a:blip>
                    <a:srcRect/>
                    <a:stretch>
                      <a:fillRect/>
                    </a:stretch>
                  </pic:blipFill>
                  <pic:spPr>
                    <a:xfrm>
                      <a:off x="0" y="0"/>
                      <a:ext cx="5558400" cy="25560"/>
                    </a:xfrm>
                    <a:prstGeom prst="rect">
                      <a:avLst/>
                    </a:prstGeom>
                    <a:noFill/>
                    <a:ln>
                      <a:noFill/>
                    </a:ln>
                  </pic:spPr>
                </pic:pic>
              </a:graphicData>
            </a:graphic>
          </wp:anchor>
        </w:drawing>
      </w:r>
    </w:p>
    <w:p w:rsidR="001E3BBD" w:rsidRDefault="00EE7044">
      <w:pPr>
        <w:pStyle w:val="Standard"/>
        <w:spacing w:after="0"/>
        <w:ind w:left="26" w:right="991" w:hanging="5"/>
        <w:jc w:val="both"/>
      </w:pPr>
      <w:r>
        <w:rPr>
          <w:rFonts w:ascii="Times New Roman" w:eastAsia="Times New Roman" w:hAnsi="Times New Roman" w:cs="Times New Roman"/>
          <w:sz w:val="24"/>
        </w:rPr>
        <w:t>Nome alunno____________________________</w:t>
      </w:r>
    </w:p>
    <w:p w:rsidR="001E3BBD" w:rsidRDefault="001E3BBD">
      <w:pPr>
        <w:pStyle w:val="Standard"/>
        <w:spacing w:after="0"/>
        <w:ind w:left="26" w:right="991" w:hanging="5"/>
        <w:jc w:val="both"/>
        <w:rPr>
          <w:rFonts w:ascii="Times New Roman" w:eastAsia="Times New Roman" w:hAnsi="Times New Roman" w:cs="Times New Roman"/>
          <w:sz w:val="24"/>
        </w:rPr>
      </w:pPr>
    </w:p>
    <w:p w:rsidR="001E3BBD" w:rsidRDefault="00EE7044">
      <w:pPr>
        <w:pStyle w:val="Standard"/>
        <w:spacing w:after="297"/>
        <w:ind w:right="1097"/>
      </w:pPr>
      <w:r>
        <w:rPr>
          <w:rFonts w:ascii="Times New Roman" w:eastAsia="Times New Roman" w:hAnsi="Times New Roman" w:cs="Times New Roman"/>
          <w:sz w:val="24"/>
        </w:rPr>
        <w:t>Scuola</w:t>
      </w:r>
      <w:r>
        <w:t>_____________________________________</w:t>
      </w:r>
    </w:p>
    <w:p w:rsidR="001E3BBD" w:rsidRDefault="00EE7044">
      <w:pPr>
        <w:pStyle w:val="Standard"/>
        <w:tabs>
          <w:tab w:val="center" w:pos="7326"/>
        </w:tabs>
        <w:spacing w:after="0"/>
      </w:pPr>
      <w:r>
        <w:rPr>
          <w:rFonts w:ascii="Times New Roman" w:eastAsia="Times New Roman" w:hAnsi="Times New Roman" w:cs="Times New Roman"/>
          <w:sz w:val="24"/>
        </w:rPr>
        <w:t>Sezione</w:t>
      </w:r>
      <w:r>
        <w:rPr>
          <w:noProof/>
        </w:rPr>
        <w:drawing>
          <wp:inline distT="0" distB="0" distL="0" distR="0">
            <wp:extent cx="983519" cy="14760"/>
            <wp:effectExtent l="0" t="0" r="7081" b="429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983519" cy="14760"/>
                    </a:xfrm>
                    <a:prstGeom prst="rect">
                      <a:avLst/>
                    </a:prstGeom>
                    <a:ln>
                      <a:noFill/>
                      <a:prstDash/>
                    </a:ln>
                  </pic:spPr>
                </pic:pic>
              </a:graphicData>
            </a:graphic>
          </wp:inline>
        </w:drawing>
      </w:r>
    </w:p>
    <w:p w:rsidR="001E3BBD" w:rsidRDefault="001E3BBD">
      <w:pPr>
        <w:pStyle w:val="Standard"/>
        <w:spacing w:after="0"/>
        <w:ind w:left="26" w:right="991" w:hanging="5"/>
        <w:jc w:val="both"/>
        <w:rPr>
          <w:rFonts w:ascii="Times New Roman" w:eastAsia="Times New Roman" w:hAnsi="Times New Roman" w:cs="Times New Roman"/>
          <w:sz w:val="24"/>
        </w:rPr>
      </w:pPr>
    </w:p>
    <w:p w:rsidR="001E3BBD" w:rsidRDefault="00EE7044">
      <w:pPr>
        <w:pStyle w:val="Standard"/>
        <w:spacing w:after="0"/>
        <w:ind w:left="26" w:hanging="5"/>
        <w:jc w:val="both"/>
      </w:pPr>
      <w:r>
        <w:rPr>
          <w:rFonts w:ascii="Times New Roman" w:eastAsia="Times New Roman" w:hAnsi="Times New Roman" w:cs="Times New Roman"/>
          <w:sz w:val="24"/>
        </w:rPr>
        <w:t>Premesso che lo Stato assicura l'insegnamento della religione cattolica nelle scuole</w:t>
      </w:r>
      <w:r>
        <w:rPr>
          <w:rFonts w:ascii="Times New Roman" w:eastAsia="Times New Roman" w:hAnsi="Times New Roman" w:cs="Times New Roman"/>
          <w:sz w:val="24"/>
        </w:rPr>
        <w:t xml:space="preserve"> di ogni ordine e grado in conformità all'Accordo che apporta modifiche al Concordato Lateranense (art. 9.2), il presente modulo costituisce richiesta dell'autorità scolastica in ordine all'esercizio del diritto di scegliere se avvalersi o non avvalersi de</w:t>
      </w:r>
      <w:r>
        <w:rPr>
          <w:rFonts w:ascii="Times New Roman" w:eastAsia="Times New Roman" w:hAnsi="Times New Roman" w:cs="Times New Roman"/>
          <w:sz w:val="24"/>
        </w:rPr>
        <w:t>ll'insegnamento della religione cattolica.</w:t>
      </w:r>
    </w:p>
    <w:p w:rsidR="001E3BBD" w:rsidRDefault="00EE7044">
      <w:pPr>
        <w:pStyle w:val="Standard"/>
        <w:spacing w:after="280"/>
        <w:ind w:left="26" w:hanging="5"/>
        <w:jc w:val="both"/>
      </w:pPr>
      <w:r>
        <w:rPr>
          <w:rFonts w:ascii="Times New Roman" w:eastAsia="Times New Roman" w:hAnsi="Times New Roman" w:cs="Times New Roman"/>
          <w:sz w:val="24"/>
        </w:rPr>
        <w:t>La scelta operata all'atto dell'iscrizione ha effetto per l'intero anno scolastico cui si riferisce e per i successivi anni di corso in cui sia prevista l'iscrizione d'ufficio, fermo restando, anche nelle modalità</w:t>
      </w:r>
      <w:r>
        <w:rPr>
          <w:rFonts w:ascii="Times New Roman" w:eastAsia="Times New Roman" w:hAnsi="Times New Roman" w:cs="Times New Roman"/>
          <w:sz w:val="24"/>
        </w:rPr>
        <w:t xml:space="preserve"> di applicazione, il diritto di scegliere ogni anno se avvalersi o non avvalersi dell'insegnamento della religione cattolica.</w:t>
      </w:r>
    </w:p>
    <w:p w:rsidR="001E3BBD" w:rsidRDefault="00EE7044">
      <w:pPr>
        <w:pStyle w:val="ListParagraph"/>
        <w:numPr>
          <w:ilvl w:val="0"/>
          <w:numId w:val="3"/>
        </w:numPr>
        <w:spacing w:after="274"/>
        <w:jc w:val="both"/>
      </w:pPr>
      <w:r>
        <w:rPr>
          <w:rFonts w:ascii="Times New Roman" w:eastAsia="Times New Roman" w:hAnsi="Times New Roman" w:cs="Times New Roman"/>
          <w:sz w:val="24"/>
        </w:rPr>
        <w:t>Scelta di avvalersi dell'insegnamento della religione cattolica</w:t>
      </w:r>
    </w:p>
    <w:p w:rsidR="001E3BBD" w:rsidRDefault="00EE7044">
      <w:pPr>
        <w:pStyle w:val="ListParagraph"/>
        <w:numPr>
          <w:ilvl w:val="0"/>
          <w:numId w:val="2"/>
        </w:numPr>
        <w:spacing w:after="557"/>
        <w:jc w:val="both"/>
      </w:pPr>
      <w:r>
        <w:rPr>
          <w:rFonts w:ascii="Times New Roman" w:eastAsia="Times New Roman" w:hAnsi="Times New Roman" w:cs="Times New Roman"/>
          <w:sz w:val="24"/>
        </w:rPr>
        <w:t>Scelta di non avvalersi dell'insegnamento della religione cattolic</w:t>
      </w:r>
      <w:r>
        <w:rPr>
          <w:rFonts w:ascii="Times New Roman" w:eastAsia="Times New Roman" w:hAnsi="Times New Roman" w:cs="Times New Roman"/>
          <w:sz w:val="24"/>
        </w:rPr>
        <w:t>a</w:t>
      </w:r>
    </w:p>
    <w:p w:rsidR="001E3BBD" w:rsidRDefault="00EE7044">
      <w:pPr>
        <w:pStyle w:val="Standard"/>
        <w:tabs>
          <w:tab w:val="center" w:pos="3206"/>
        </w:tabs>
        <w:spacing w:after="0"/>
      </w:pPr>
      <w:r>
        <w:rPr>
          <w:rFonts w:ascii="Times New Roman" w:eastAsia="Times New Roman" w:hAnsi="Times New Roman" w:cs="Times New Roman"/>
          <w:sz w:val="24"/>
        </w:rPr>
        <w:t>Data</w:t>
      </w:r>
      <w:r>
        <w:rPr>
          <w:rFonts w:ascii="Times New Roman" w:eastAsia="Times New Roman" w:hAnsi="Times New Roman" w:cs="Times New Roman"/>
          <w:sz w:val="24"/>
        </w:rPr>
        <w:tab/>
        <w:t>Firma*</w:t>
      </w:r>
    </w:p>
    <w:p w:rsidR="001E3BBD" w:rsidRDefault="00EE7044">
      <w:pPr>
        <w:pStyle w:val="Standard"/>
        <w:spacing w:after="234"/>
        <w:ind w:left="10"/>
      </w:pPr>
      <w:r>
        <w:rPr>
          <w:noProof/>
        </w:rPr>
        <w:drawing>
          <wp:inline distT="0" distB="0" distL="0" distR="0">
            <wp:extent cx="5558040" cy="25560"/>
            <wp:effectExtent l="0" t="0" r="456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bright="-50000"/>
                      <a:alphaModFix/>
                    </a:blip>
                    <a:srcRect/>
                    <a:stretch>
                      <a:fillRect/>
                    </a:stretch>
                  </pic:blipFill>
                  <pic:spPr>
                    <a:xfrm>
                      <a:off x="0" y="0"/>
                      <a:ext cx="5558040" cy="25560"/>
                    </a:xfrm>
                    <a:prstGeom prst="rect">
                      <a:avLst/>
                    </a:prstGeom>
                    <a:ln>
                      <a:noFill/>
                      <a:prstDash/>
                    </a:ln>
                  </pic:spPr>
                </pic:pic>
              </a:graphicData>
            </a:graphic>
          </wp:inline>
        </w:drawing>
      </w:r>
    </w:p>
    <w:p w:rsidR="001E3BBD" w:rsidRDefault="00EE7044">
      <w:pPr>
        <w:pStyle w:val="Standard"/>
        <w:spacing w:after="34"/>
        <w:ind w:left="10"/>
      </w:pPr>
      <w:r>
        <w:rPr>
          <w:noProof/>
        </w:rPr>
        <w:drawing>
          <wp:inline distT="0" distB="0" distL="0" distR="0">
            <wp:extent cx="5558040" cy="25560"/>
            <wp:effectExtent l="0" t="0" r="456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bright="-50000"/>
                      <a:alphaModFix/>
                    </a:blip>
                    <a:srcRect/>
                    <a:stretch>
                      <a:fillRect/>
                    </a:stretch>
                  </pic:blipFill>
                  <pic:spPr>
                    <a:xfrm>
                      <a:off x="0" y="0"/>
                      <a:ext cx="5558040" cy="25560"/>
                    </a:xfrm>
                    <a:prstGeom prst="rect">
                      <a:avLst/>
                    </a:prstGeom>
                    <a:ln>
                      <a:noFill/>
                      <a:prstDash/>
                    </a:ln>
                  </pic:spPr>
                </pic:pic>
              </a:graphicData>
            </a:graphic>
          </wp:inline>
        </w:drawing>
      </w:r>
    </w:p>
    <w:p w:rsidR="001E3BBD" w:rsidRDefault="001E3BBD">
      <w:pPr>
        <w:pStyle w:val="Standard"/>
        <w:spacing w:after="34"/>
        <w:ind w:left="10"/>
      </w:pPr>
    </w:p>
    <w:p w:rsidR="001E3BBD" w:rsidRDefault="00EE7044">
      <w:pPr>
        <w:pStyle w:val="Standard"/>
        <w:spacing w:after="6" w:line="230" w:lineRule="auto"/>
        <w:ind w:left="15" w:right="21" w:hanging="15"/>
        <w:jc w:val="both"/>
      </w:pPr>
      <w:r>
        <w:rPr>
          <w:rFonts w:ascii="Times New Roman" w:eastAsia="Times New Roman" w:hAnsi="Times New Roman" w:cs="Times New Roman"/>
        </w:rPr>
        <w:t>*Studente della scuola secondaria di secondo grado ovvero genitori/chi esercita la responsabilità genitoriale/tutore/affidatario, per gli allievi delle scuole dell'infanzia, primarie e secondarie di I grado (se minorenni).</w:t>
      </w:r>
    </w:p>
    <w:p w:rsidR="001E3BBD" w:rsidRDefault="00EE7044">
      <w:pPr>
        <w:pStyle w:val="Standard"/>
        <w:spacing w:after="0" w:line="230" w:lineRule="auto"/>
        <w:ind w:left="15" w:right="21" w:hanging="15"/>
        <w:jc w:val="both"/>
      </w:pPr>
      <w:r>
        <w:rPr>
          <w:rFonts w:ascii="Times New Roman" w:eastAsia="Times New Roman" w:hAnsi="Times New Roman" w:cs="Times New Roman"/>
        </w:rPr>
        <w:t xml:space="preserve">Alla luce </w:t>
      </w:r>
      <w:r>
        <w:rPr>
          <w:rFonts w:ascii="Times New Roman" w:eastAsia="Times New Roman" w:hAnsi="Times New Roman" w:cs="Times New Roman"/>
        </w:rPr>
        <w:t>delle disposizioni del codice civile in materia di filiazione, la scelta, rientrando nella responsabilità genitoriale, deve essere sempre condivisa dai genitori. Qualora la domanda sia firmata da un solo genitore, si intende che la scelta sia stata comunqu</w:t>
      </w:r>
      <w:r>
        <w:rPr>
          <w:rFonts w:ascii="Times New Roman" w:eastAsia="Times New Roman" w:hAnsi="Times New Roman" w:cs="Times New Roman"/>
        </w:rPr>
        <w:t>e condivisa.</w:t>
      </w:r>
    </w:p>
    <w:p w:rsidR="001E3BBD" w:rsidRDefault="00EE7044">
      <w:pPr>
        <w:pStyle w:val="Standard"/>
        <w:spacing w:after="0"/>
        <w:ind w:firstLine="41"/>
      </w:pPr>
      <w:r>
        <w:rPr>
          <w:rFonts w:ascii="Times New Roman" w:eastAsia="Times New Roman" w:hAnsi="Times New Roman" w:cs="Times New Roman"/>
          <w:sz w:val="24"/>
        </w:rPr>
        <w:t xml:space="preserve">                                                                                                         Data</w:t>
      </w:r>
    </w:p>
    <w:p w:rsidR="001E3BBD" w:rsidRDefault="001E3BBD">
      <w:pPr>
        <w:pStyle w:val="Standard"/>
        <w:spacing w:after="0"/>
        <w:ind w:firstLine="41"/>
      </w:pPr>
    </w:p>
    <w:p w:rsidR="001E3BBD" w:rsidRDefault="00EE7044">
      <w:pPr>
        <w:pStyle w:val="Standard"/>
        <w:spacing w:after="3" w:line="254" w:lineRule="auto"/>
        <w:ind w:left="41" w:hanging="10"/>
        <w:jc w:val="both"/>
      </w:pPr>
      <w:r>
        <w:rPr>
          <w:rFonts w:ascii="Times New Roman" w:eastAsia="Times New Roman" w:hAnsi="Times New Roman" w:cs="Times New Roman"/>
          <w:sz w:val="18"/>
        </w:rPr>
        <w:t>Art. 9.2 dell'Accordo, con protocollo addizionale, tra la Repubblica Italiana e ia Santa Sede firmato il 18 febbraio 1984, ratificat</w:t>
      </w:r>
      <w:r>
        <w:rPr>
          <w:rFonts w:ascii="Times New Roman" w:eastAsia="Times New Roman" w:hAnsi="Times New Roman" w:cs="Times New Roman"/>
          <w:sz w:val="18"/>
        </w:rPr>
        <w:t>o con la legge 25 marzo 1985, n. 121, che apporta modificazioni al Concordato Lateranense dell'11 febbraio 1929:</w:t>
      </w:r>
    </w:p>
    <w:p w:rsidR="001E3BBD" w:rsidRDefault="00EE7044">
      <w:pPr>
        <w:pStyle w:val="Standard"/>
        <w:spacing w:after="3" w:line="254" w:lineRule="auto"/>
        <w:ind w:left="41" w:hanging="10"/>
        <w:jc w:val="both"/>
      </w:pPr>
      <w:r>
        <w:rPr>
          <w:rFonts w:ascii="Times New Roman" w:eastAsia="Times New Roman" w:hAnsi="Times New Roman" w:cs="Times New Roman"/>
          <w:sz w:val="18"/>
        </w:rPr>
        <w:t>"La Repubblica Italiana, riconoscendo il valore della cultura religiosa e tenendo conto che i principi del cattolicesimo fanno parte del patrim</w:t>
      </w:r>
      <w:r>
        <w:rPr>
          <w:rFonts w:ascii="Times New Roman" w:eastAsia="Times New Roman" w:hAnsi="Times New Roman" w:cs="Times New Roman"/>
          <w:sz w:val="18"/>
        </w:rPr>
        <w:t>onio storico del popolo italiano, continuerà ad assicurare, nel quadro delle finalità della scuola, l'insegnamento della religione cattolica nelle scuole pubbliche non universitarie di ogni ordine e grado.</w:t>
      </w:r>
    </w:p>
    <w:p w:rsidR="001E3BBD" w:rsidRDefault="00EE7044">
      <w:pPr>
        <w:pStyle w:val="Standard"/>
        <w:spacing w:after="3" w:line="254" w:lineRule="auto"/>
        <w:ind w:left="41" w:hanging="10"/>
        <w:jc w:val="both"/>
      </w:pPr>
      <w:r>
        <w:rPr>
          <w:rFonts w:ascii="Times New Roman" w:eastAsia="Times New Roman" w:hAnsi="Times New Roman" w:cs="Times New Roman"/>
          <w:sz w:val="18"/>
        </w:rPr>
        <w:t>Nel rispetto della libertà di coscienza e della re</w:t>
      </w:r>
      <w:r>
        <w:rPr>
          <w:rFonts w:ascii="Times New Roman" w:eastAsia="Times New Roman" w:hAnsi="Times New Roman" w:cs="Times New Roman"/>
          <w:sz w:val="18"/>
        </w:rPr>
        <w:t>sponsabilità educativa dei genitori, è garantito a ciascuno il diritto di scegliere se avvalersi o non avvalersi di detto insegnamento,</w:t>
      </w:r>
    </w:p>
    <w:p w:rsidR="001E3BBD" w:rsidRDefault="00EE7044">
      <w:pPr>
        <w:pStyle w:val="Standard"/>
        <w:spacing w:after="0" w:line="254" w:lineRule="auto"/>
        <w:ind w:left="41" w:hanging="10"/>
        <w:jc w:val="both"/>
      </w:pPr>
      <w:r>
        <w:rPr>
          <w:rFonts w:ascii="Times New Roman" w:eastAsia="Times New Roman" w:hAnsi="Times New Roman" w:cs="Times New Roman"/>
          <w:sz w:val="18"/>
        </w:rPr>
        <w:t>All'atto dell'iscrizione gli studenti o i loro genitori eserciteranno tale diritto, su richiesta dell'autorità scolastic</w:t>
      </w:r>
      <w:r>
        <w:rPr>
          <w:rFonts w:ascii="Times New Roman" w:eastAsia="Times New Roman" w:hAnsi="Times New Roman" w:cs="Times New Roman"/>
          <w:sz w:val="18"/>
        </w:rPr>
        <w:t>a, senza che la loro scelta possa dar luogo ad alcuna forma di discriminazione".</w:t>
      </w:r>
    </w:p>
    <w:p w:rsidR="001E3BBD" w:rsidRDefault="00EE7044">
      <w:pPr>
        <w:pStyle w:val="Standard"/>
        <w:spacing w:after="0" w:line="254" w:lineRule="auto"/>
        <w:ind w:left="41" w:hanging="10"/>
        <w:jc w:val="both"/>
      </w:pPr>
      <w:r>
        <w:rPr>
          <w:rFonts w:ascii="Times New Roman" w:eastAsia="Times New Roman" w:hAnsi="Times New Roman" w:cs="Times New Roman"/>
          <w:sz w:val="18"/>
        </w:rPr>
        <w:t xml:space="preserve">N.B. I dati rilasciati sono utilizzati dalla scuola nel rispetto delle norme sulla privacy, previste dal d.lgs. 196 del 2003 e successive modificazioni e dal Regolamento (UE) </w:t>
      </w:r>
      <w:r>
        <w:rPr>
          <w:rFonts w:ascii="Times New Roman" w:eastAsia="Times New Roman" w:hAnsi="Times New Roman" w:cs="Times New Roman"/>
          <w:sz w:val="18"/>
        </w:rPr>
        <w:t>2016/679 del Parlamento europeo e del Consiglio.</w:t>
      </w:r>
    </w:p>
    <w:sectPr w:rsidR="001E3BBD">
      <w:headerReference w:type="default" r:id="rId10"/>
      <w:pgSz w:w="11906" w:h="16838"/>
      <w:pgMar w:top="1591" w:right="1204" w:bottom="2883" w:left="11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044" w:rsidRDefault="00EE7044">
      <w:pPr>
        <w:spacing w:after="0" w:line="240" w:lineRule="auto"/>
      </w:pPr>
      <w:r>
        <w:separator/>
      </w:r>
    </w:p>
  </w:endnote>
  <w:endnote w:type="continuationSeparator" w:id="0">
    <w:p w:rsidR="00EE7044" w:rsidRDefault="00EE7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044" w:rsidRDefault="00EE7044">
      <w:pPr>
        <w:spacing w:after="0" w:line="240" w:lineRule="auto"/>
      </w:pPr>
      <w:r>
        <w:rPr>
          <w:color w:val="000000"/>
        </w:rPr>
        <w:separator/>
      </w:r>
    </w:p>
  </w:footnote>
  <w:footnote w:type="continuationSeparator" w:id="0">
    <w:p w:rsidR="00EE7044" w:rsidRDefault="00EE70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0E1" w:rsidRDefault="00EE7044">
    <w:pPr>
      <w:pStyle w:val="Standard"/>
      <w:spacing w:after="10" w:line="249" w:lineRule="auto"/>
    </w:pPr>
    <w:r>
      <w:rPr>
        <w:rFonts w:ascii="Times New Roman" w:eastAsia="Times New Roman" w:hAnsi="Times New Roman" w:cs="Times New Roman"/>
        <w:sz w:val="20"/>
        <w:szCs w:val="20"/>
      </w:rPr>
      <w:t>ALLEGATO SCHEDA B</w:t>
    </w:r>
  </w:p>
  <w:p w:rsidR="002270E1" w:rsidRDefault="00EE7044">
    <w:pPr>
      <w:pStyle w:val="Standard"/>
      <w:spacing w:after="239" w:line="249" w:lineRule="auto"/>
      <w:ind w:left="-5" w:hanging="10"/>
      <w:jc w:val="center"/>
    </w:pPr>
    <w:r>
      <w:rPr>
        <w:rFonts w:ascii="Times New Roman" w:eastAsia="Times New Roman" w:hAnsi="Times New Roman" w:cs="Times New Roman"/>
        <w:b/>
        <w:bCs/>
        <w:sz w:val="26"/>
      </w:rPr>
      <w:t>Modulo per l'esercizio del diritto di scegliere se avvalersi o non avvalersi dell’insegnamento della religione cattolica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CB7F81"/>
    <w:multiLevelType w:val="multilevel"/>
    <w:tmpl w:val="BAAA8F06"/>
    <w:styleLink w:val="WWNum2"/>
    <w:lvl w:ilvl="0">
      <w:numFmt w:val="bullet"/>
      <w:lvlText w:val="o"/>
      <w:lvlJc w:val="left"/>
      <w:pPr>
        <w:ind w:left="741" w:hanging="360"/>
      </w:pPr>
      <w:rPr>
        <w:rFonts w:ascii="Courier New" w:hAnsi="Courier New" w:cs="Courier New"/>
      </w:rPr>
    </w:lvl>
    <w:lvl w:ilvl="1">
      <w:numFmt w:val="bullet"/>
      <w:lvlText w:val="o"/>
      <w:lvlJc w:val="left"/>
      <w:pPr>
        <w:ind w:left="1461" w:hanging="360"/>
      </w:pPr>
      <w:rPr>
        <w:rFonts w:ascii="Courier New" w:hAnsi="Courier New" w:cs="Courier New"/>
      </w:rPr>
    </w:lvl>
    <w:lvl w:ilvl="2">
      <w:numFmt w:val="bullet"/>
      <w:lvlText w:val=""/>
      <w:lvlJc w:val="left"/>
      <w:pPr>
        <w:ind w:left="2181" w:hanging="360"/>
      </w:pPr>
      <w:rPr>
        <w:rFonts w:ascii="Wingdings" w:hAnsi="Wingdings"/>
      </w:rPr>
    </w:lvl>
    <w:lvl w:ilvl="3">
      <w:numFmt w:val="bullet"/>
      <w:lvlText w:val=""/>
      <w:lvlJc w:val="left"/>
      <w:pPr>
        <w:ind w:left="2901" w:hanging="360"/>
      </w:pPr>
      <w:rPr>
        <w:rFonts w:ascii="Symbol" w:hAnsi="Symbol"/>
      </w:rPr>
    </w:lvl>
    <w:lvl w:ilvl="4">
      <w:numFmt w:val="bullet"/>
      <w:lvlText w:val="o"/>
      <w:lvlJc w:val="left"/>
      <w:pPr>
        <w:ind w:left="3621" w:hanging="360"/>
      </w:pPr>
      <w:rPr>
        <w:rFonts w:ascii="Courier New" w:hAnsi="Courier New" w:cs="Courier New"/>
      </w:rPr>
    </w:lvl>
    <w:lvl w:ilvl="5">
      <w:numFmt w:val="bullet"/>
      <w:lvlText w:val=""/>
      <w:lvlJc w:val="left"/>
      <w:pPr>
        <w:ind w:left="4341" w:hanging="360"/>
      </w:pPr>
      <w:rPr>
        <w:rFonts w:ascii="Wingdings" w:hAnsi="Wingdings"/>
      </w:rPr>
    </w:lvl>
    <w:lvl w:ilvl="6">
      <w:numFmt w:val="bullet"/>
      <w:lvlText w:val=""/>
      <w:lvlJc w:val="left"/>
      <w:pPr>
        <w:ind w:left="5061" w:hanging="360"/>
      </w:pPr>
      <w:rPr>
        <w:rFonts w:ascii="Symbol" w:hAnsi="Symbol"/>
      </w:rPr>
    </w:lvl>
    <w:lvl w:ilvl="7">
      <w:numFmt w:val="bullet"/>
      <w:lvlText w:val="o"/>
      <w:lvlJc w:val="left"/>
      <w:pPr>
        <w:ind w:left="5781" w:hanging="360"/>
      </w:pPr>
      <w:rPr>
        <w:rFonts w:ascii="Courier New" w:hAnsi="Courier New" w:cs="Courier New"/>
      </w:rPr>
    </w:lvl>
    <w:lvl w:ilvl="8">
      <w:numFmt w:val="bullet"/>
      <w:lvlText w:val=""/>
      <w:lvlJc w:val="left"/>
      <w:pPr>
        <w:ind w:left="6501" w:hanging="360"/>
      </w:pPr>
      <w:rPr>
        <w:rFonts w:ascii="Wingdings" w:hAnsi="Wingdings"/>
      </w:rPr>
    </w:lvl>
  </w:abstractNum>
  <w:abstractNum w:abstractNumId="1" w15:restartNumberingAfterBreak="0">
    <w:nsid w:val="581E383C"/>
    <w:multiLevelType w:val="multilevel"/>
    <w:tmpl w:val="2BDCF0A4"/>
    <w:styleLink w:val="WWNum1"/>
    <w:lvl w:ilvl="0">
      <w:start w:val="1"/>
      <w:numFmt w:val="upperLetter"/>
      <w:lvlText w:val="%1)"/>
      <w:lvlJc w:val="left"/>
      <w:pPr>
        <w:ind w:left="330"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ind w:left="1081"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1.%2.%3"/>
      <w:lvlJc w:val="left"/>
      <w:pPr>
        <w:ind w:left="1801"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1.%2.%3.%4"/>
      <w:lvlJc w:val="left"/>
      <w:pPr>
        <w:ind w:left="2521"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1.%2.%3.%4.%5"/>
      <w:lvlJc w:val="left"/>
      <w:pPr>
        <w:ind w:left="3241"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1.%2.%3.%4.%5.%6"/>
      <w:lvlJc w:val="left"/>
      <w:pPr>
        <w:ind w:left="3961"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1.%2.%3.%4.%5.%6.%7"/>
      <w:lvlJc w:val="left"/>
      <w:pPr>
        <w:ind w:left="4681"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1.%2.%3.%4.%5.%6.%7.%8"/>
      <w:lvlJc w:val="left"/>
      <w:pPr>
        <w:ind w:left="5401"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1.%2.%3.%4.%5.%6.%7.%8.%9"/>
      <w:lvlJc w:val="left"/>
      <w:pPr>
        <w:ind w:left="6121" w:hanging="360"/>
      </w:pPr>
      <w:rPr>
        <w:rFonts w:eastAsia="Times New Roman" w:cs="Times New Roman"/>
        <w:b w:val="0"/>
        <w:i w:val="0"/>
        <w:strike w:val="0"/>
        <w:dstrike w:val="0"/>
        <w:color w:val="000000"/>
        <w:position w:val="0"/>
        <w:sz w:val="24"/>
        <w:szCs w:val="24"/>
        <w:u w:val="none"/>
        <w:vertAlign w:val="baseline"/>
      </w:rPr>
    </w:lvl>
  </w:abstractNum>
  <w:num w:numId="1">
    <w:abstractNumId w:val="1"/>
  </w:num>
  <w:num w:numId="2">
    <w:abstractNumId w:val="0"/>
  </w:num>
  <w:num w:numId="3">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E3BBD"/>
    <w:rsid w:val="001E3BBD"/>
    <w:rsid w:val="00541B4C"/>
    <w:rsid w:val="00EE70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23468B-550B-4A45-8C94-19F51AB5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it-IT" w:eastAsia="it-IT"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eastAsia="Calibri" w:cs="Calibri"/>
      <w:color w:val="000000"/>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Header">
    <w:name w:val="header"/>
    <w:basedOn w:val="Standard"/>
    <w:pPr>
      <w:suppressLineNumbers/>
      <w:tabs>
        <w:tab w:val="center" w:pos="4819"/>
        <w:tab w:val="right" w:pos="9638"/>
      </w:tabs>
      <w:spacing w:after="0" w:line="240" w:lineRule="auto"/>
    </w:pPr>
  </w:style>
  <w:style w:type="paragraph" w:styleId="Footer">
    <w:name w:val="footer"/>
    <w:basedOn w:val="Standard"/>
    <w:pPr>
      <w:suppressLineNumbers/>
      <w:tabs>
        <w:tab w:val="center" w:pos="4819"/>
        <w:tab w:val="right" w:pos="9638"/>
      </w:tabs>
      <w:spacing w:after="0" w:line="240" w:lineRule="auto"/>
    </w:pPr>
  </w:style>
  <w:style w:type="paragraph" w:styleId="ListParagraph">
    <w:name w:val="List Paragraph"/>
    <w:basedOn w:val="Standard"/>
    <w:pPr>
      <w:ind w:left="720"/>
    </w:pPr>
  </w:style>
  <w:style w:type="character" w:customStyle="1" w:styleId="IntestazioneCarattere">
    <w:name w:val="Intestazione Carattere"/>
    <w:basedOn w:val="DefaultParagraphFont"/>
    <w:rPr>
      <w:rFonts w:ascii="Calibri" w:eastAsia="Calibri" w:hAnsi="Calibri" w:cs="Calibri"/>
      <w:color w:val="000000"/>
    </w:rPr>
  </w:style>
  <w:style w:type="character" w:customStyle="1" w:styleId="PidipaginaCarattere">
    <w:name w:val="Piè di pagina Carattere"/>
    <w:basedOn w:val="DefaultParagraphFont"/>
    <w:rPr>
      <w:rFonts w:ascii="Calibri" w:eastAsia="Calibri" w:hAnsi="Calibri" w:cs="Calibri"/>
      <w:color w:val="000000"/>
    </w:rPr>
  </w:style>
  <w:style w:type="character" w:customStyle="1" w:styleId="ListLabel1">
    <w:name w:val="ListLabel 1"/>
    <w:rPr>
      <w:rFonts w:eastAsia="Times New Roman" w:cs="Times New Roman"/>
      <w:b w:val="0"/>
      <w:i w:val="0"/>
      <w:strike w:val="0"/>
      <w:dstrike w:val="0"/>
      <w:color w:val="000000"/>
      <w:position w:val="0"/>
      <w:sz w:val="24"/>
      <w:szCs w:val="24"/>
      <w:u w:val="none"/>
      <w:vertAlign w:val="baseline"/>
    </w:rPr>
  </w:style>
  <w:style w:type="character" w:customStyle="1" w:styleId="ListLabel2">
    <w:name w:val="ListLabel 2"/>
    <w:rPr>
      <w:rFonts w:cs="Courier New"/>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Morello</dc:creator>
  <cp:lastModifiedBy>vincenzo.tranchini@gmail.com</cp:lastModifiedBy>
  <cp:revision>2</cp:revision>
  <dcterms:created xsi:type="dcterms:W3CDTF">2020-04-03T10:20:00Z</dcterms:created>
  <dcterms:modified xsi:type="dcterms:W3CDTF">2020-04-03T10:20:00Z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